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61" w:rsidRPr="000E1B87" w:rsidRDefault="00055A61" w:rsidP="00055A61">
      <w:pPr>
        <w:jc w:val="both"/>
        <w:rPr>
          <w:rFonts w:ascii="Arial" w:hAnsi="Arial" w:cs="Arial"/>
          <w:b/>
          <w:sz w:val="24"/>
          <w:szCs w:val="24"/>
        </w:rPr>
      </w:pPr>
      <w:r w:rsidRPr="000E1B87">
        <w:rPr>
          <w:rFonts w:ascii="Arial" w:hAnsi="Arial" w:cs="Arial"/>
          <w:b/>
          <w:sz w:val="24"/>
          <w:szCs w:val="24"/>
        </w:rPr>
        <w:t>Gastronomia i sztuka kulinarna – nowy kierunek w ofercie edukacyjnej Uniwersytetu Przyrodniczego w Lublinie od roku akademickiego 2015/2016.</w:t>
      </w:r>
    </w:p>
    <w:p w:rsidR="00755919" w:rsidRPr="000E1B87" w:rsidRDefault="00755919" w:rsidP="007559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1B87">
        <w:rPr>
          <w:rFonts w:ascii="Arial" w:hAnsi="Arial" w:cs="Arial"/>
          <w:sz w:val="24"/>
          <w:szCs w:val="24"/>
        </w:rPr>
        <w:t>Gastronomia i sztuka kulinarna to kierunek</w:t>
      </w:r>
      <w:r w:rsidRPr="000E1B87">
        <w:rPr>
          <w:rFonts w:ascii="Arial" w:hAnsi="Arial" w:cs="Arial"/>
          <w:sz w:val="24"/>
          <w:szCs w:val="24"/>
        </w:rPr>
        <w:t xml:space="preserve"> I stopnia (w formie stacjonarnej i niestacjonarnej)</w:t>
      </w:r>
      <w:r w:rsidRPr="000E1B87">
        <w:rPr>
          <w:rFonts w:ascii="Arial" w:hAnsi="Arial" w:cs="Arial"/>
          <w:sz w:val="24"/>
          <w:szCs w:val="24"/>
        </w:rPr>
        <w:t xml:space="preserve"> umożliwiający zdobycie specjalistycznej wiedzy  </w:t>
      </w:r>
      <w:r w:rsidRPr="000E1B87">
        <w:rPr>
          <w:rFonts w:ascii="Arial" w:hAnsi="Arial" w:cs="Arial"/>
          <w:sz w:val="24"/>
          <w:szCs w:val="24"/>
        </w:rPr>
        <w:t>i umiejęt</w:t>
      </w:r>
      <w:r w:rsidRPr="000E1B87">
        <w:rPr>
          <w:rFonts w:ascii="Arial" w:hAnsi="Arial" w:cs="Arial"/>
          <w:sz w:val="24"/>
          <w:szCs w:val="24"/>
        </w:rPr>
        <w:t xml:space="preserve">ności z zakresu sztuki przygotowywania  i serwowania potraw oraz projektowania i zarządzania placówkami prowadzącymi działalność gastronomiczną. </w:t>
      </w:r>
    </w:p>
    <w:p w:rsidR="00755919" w:rsidRPr="000E1B87" w:rsidRDefault="00755919" w:rsidP="00755919">
      <w:pPr>
        <w:jc w:val="both"/>
        <w:rPr>
          <w:rFonts w:ascii="Arial" w:hAnsi="Arial" w:cs="Arial"/>
          <w:sz w:val="24"/>
          <w:szCs w:val="24"/>
        </w:rPr>
      </w:pPr>
      <w:r w:rsidRPr="000E1B87">
        <w:rPr>
          <w:rFonts w:ascii="Arial" w:hAnsi="Arial" w:cs="Arial"/>
          <w:sz w:val="24"/>
          <w:szCs w:val="24"/>
        </w:rPr>
        <w:t>Treści kształcenia zawarte w programach nauczania dotyczą zarówno tradycyjnych aspektów procesu świadczenia usług gastronomicznych, jak również innowacyjnego podejścia do zaspokajania różnorodnych, szybko zmieniających się potrzeb konsumentów.</w:t>
      </w:r>
    </w:p>
    <w:p w:rsidR="00755919" w:rsidRPr="000E1B87" w:rsidRDefault="00755919" w:rsidP="00755919">
      <w:pPr>
        <w:jc w:val="both"/>
        <w:rPr>
          <w:rFonts w:ascii="Arial" w:hAnsi="Arial" w:cs="Arial"/>
          <w:sz w:val="24"/>
          <w:szCs w:val="24"/>
        </w:rPr>
      </w:pPr>
      <w:r w:rsidRPr="000E1B87">
        <w:rPr>
          <w:rFonts w:ascii="Arial" w:hAnsi="Arial" w:cs="Arial"/>
          <w:sz w:val="24"/>
          <w:szCs w:val="24"/>
        </w:rPr>
        <w:t>Niektóre z przedmiotów w programie studiów</w:t>
      </w:r>
      <w:r w:rsidRPr="000E1B87">
        <w:rPr>
          <w:rFonts w:ascii="Arial" w:hAnsi="Arial" w:cs="Arial"/>
          <w:sz w:val="24"/>
          <w:szCs w:val="24"/>
        </w:rPr>
        <w:t>:</w:t>
      </w:r>
      <w:r w:rsidRPr="000E1B87">
        <w:rPr>
          <w:rFonts w:ascii="Arial" w:hAnsi="Arial" w:cs="Arial"/>
          <w:sz w:val="24"/>
          <w:szCs w:val="24"/>
        </w:rPr>
        <w:t xml:space="preserve"> </w:t>
      </w:r>
    </w:p>
    <w:p w:rsidR="00755919" w:rsidRPr="000E1B87" w:rsidRDefault="00755919" w:rsidP="00755919">
      <w:pPr>
        <w:jc w:val="both"/>
        <w:rPr>
          <w:rFonts w:ascii="Arial" w:hAnsi="Arial" w:cs="Arial"/>
          <w:sz w:val="24"/>
          <w:szCs w:val="24"/>
        </w:rPr>
      </w:pPr>
      <w:r w:rsidRPr="000E1B87">
        <w:rPr>
          <w:rFonts w:ascii="Arial" w:hAnsi="Arial" w:cs="Arial"/>
          <w:sz w:val="24"/>
          <w:szCs w:val="24"/>
        </w:rPr>
        <w:t xml:space="preserve">Historia gastronomii,  gastronomia w sztuce,  sztuka kulinarna i kuchnie świata, catering i organizacja </w:t>
      </w:r>
      <w:proofErr w:type="spellStart"/>
      <w:r w:rsidRPr="000E1B87">
        <w:rPr>
          <w:rFonts w:ascii="Arial" w:hAnsi="Arial" w:cs="Arial"/>
          <w:sz w:val="24"/>
          <w:szCs w:val="24"/>
        </w:rPr>
        <w:t>eventów</w:t>
      </w:r>
      <w:proofErr w:type="spellEnd"/>
      <w:r w:rsidRPr="000E1B87">
        <w:rPr>
          <w:rFonts w:ascii="Arial" w:hAnsi="Arial" w:cs="Arial"/>
          <w:sz w:val="24"/>
          <w:szCs w:val="24"/>
        </w:rPr>
        <w:t>, podstawy hotelarstwa, estetyka i sztuka dekorowania  w gastronomii, technologie informacyjne   w gastronomii, przedsiębiorczość  i zarządzanie   w gastronomii,  turystyka kulinarna,  savoir vivre     i protokół dyplomatyczny.</w:t>
      </w:r>
    </w:p>
    <w:p w:rsidR="00055A61" w:rsidRPr="000E1B87" w:rsidRDefault="00055A61" w:rsidP="00055A61">
      <w:pPr>
        <w:jc w:val="both"/>
        <w:rPr>
          <w:rFonts w:ascii="Arial" w:hAnsi="Arial" w:cs="Arial"/>
          <w:sz w:val="24"/>
          <w:szCs w:val="24"/>
        </w:rPr>
      </w:pPr>
      <w:r w:rsidRPr="000E1B87">
        <w:rPr>
          <w:rFonts w:ascii="Arial" w:hAnsi="Arial" w:cs="Arial"/>
          <w:sz w:val="24"/>
          <w:szCs w:val="24"/>
        </w:rPr>
        <w:t>„</w:t>
      </w:r>
      <w:r w:rsidRPr="000E1B87">
        <w:rPr>
          <w:rFonts w:ascii="Arial" w:hAnsi="Arial" w:cs="Arial"/>
          <w:sz w:val="24"/>
          <w:szCs w:val="24"/>
        </w:rPr>
        <w:t xml:space="preserve">Rynek usług gastronomicznych stanowi jeden z najszybciej rozwijających się sektorów gospodarki. Pod wpływem zachodzących zmian społeczno-ekonomicznych, demograficznych i kulturowych Polacy coraz chętniej jedzą poza domem, do kraju przyjeżdża także coraz więcej cudzoziemców. Powoduje to wzrost zapotrzebowania na usługi gastronomiczne, zarówno w wymiarze ilościowym jak i jakościowym. W związku z tym branża gastronomiczna zaliczana do sektora </w:t>
      </w:r>
      <w:proofErr w:type="spellStart"/>
      <w:r w:rsidRPr="000E1B87">
        <w:rPr>
          <w:rFonts w:ascii="Arial" w:hAnsi="Arial" w:cs="Arial"/>
          <w:sz w:val="24"/>
          <w:szCs w:val="24"/>
        </w:rPr>
        <w:t>HoReCa</w:t>
      </w:r>
      <w:proofErr w:type="spellEnd"/>
      <w:r w:rsidRPr="000E1B87">
        <w:rPr>
          <w:rFonts w:ascii="Arial" w:hAnsi="Arial" w:cs="Arial"/>
          <w:sz w:val="24"/>
          <w:szCs w:val="24"/>
        </w:rPr>
        <w:t xml:space="preserve"> (Hotele Restauracje Catering), ciągle poszukuje fachowców o najwyższych kwalifikacjach.</w:t>
      </w:r>
      <w:r w:rsidRPr="000E1B87">
        <w:rPr>
          <w:rFonts w:ascii="Arial" w:hAnsi="Arial" w:cs="Arial"/>
          <w:sz w:val="24"/>
          <w:szCs w:val="24"/>
        </w:rPr>
        <w:t xml:space="preserve"> Właśnie dlatego </w:t>
      </w:r>
      <w:r w:rsidRPr="000E1B87">
        <w:rPr>
          <w:rFonts w:ascii="Arial" w:hAnsi="Arial" w:cs="Arial"/>
          <w:sz w:val="24"/>
          <w:szCs w:val="24"/>
        </w:rPr>
        <w:t xml:space="preserve">Wydział Nauk o Żywności i Biotechnologii </w:t>
      </w:r>
      <w:r w:rsidRPr="000E1B87">
        <w:rPr>
          <w:rFonts w:ascii="Arial" w:hAnsi="Arial" w:cs="Arial"/>
          <w:sz w:val="24"/>
          <w:szCs w:val="24"/>
        </w:rPr>
        <w:t>zdecydował się na</w:t>
      </w:r>
      <w:r w:rsidRPr="000E1B87">
        <w:rPr>
          <w:rFonts w:ascii="Arial" w:hAnsi="Arial" w:cs="Arial"/>
          <w:sz w:val="24"/>
          <w:szCs w:val="24"/>
        </w:rPr>
        <w:t xml:space="preserve"> uruchomieni</w:t>
      </w:r>
      <w:r w:rsidRPr="000E1B87">
        <w:rPr>
          <w:rFonts w:ascii="Arial" w:hAnsi="Arial" w:cs="Arial"/>
          <w:sz w:val="24"/>
          <w:szCs w:val="24"/>
        </w:rPr>
        <w:t>e</w:t>
      </w:r>
      <w:r w:rsidRPr="000E1B87">
        <w:rPr>
          <w:rFonts w:ascii="Arial" w:hAnsi="Arial" w:cs="Arial"/>
          <w:sz w:val="24"/>
          <w:szCs w:val="24"/>
        </w:rPr>
        <w:t xml:space="preserve"> studiów kształcący</w:t>
      </w:r>
      <w:r w:rsidR="005031D0" w:rsidRPr="000E1B87">
        <w:rPr>
          <w:rFonts w:ascii="Arial" w:hAnsi="Arial" w:cs="Arial"/>
          <w:sz w:val="24"/>
          <w:szCs w:val="24"/>
        </w:rPr>
        <w:t xml:space="preserve">ch specjalistów w tym obszarze.” </w:t>
      </w:r>
      <w:r w:rsidR="005031D0" w:rsidRPr="000E1B87">
        <w:rPr>
          <w:rFonts w:ascii="Arial" w:hAnsi="Arial" w:cs="Arial"/>
          <w:sz w:val="24"/>
          <w:szCs w:val="24"/>
        </w:rPr>
        <w:t xml:space="preserve">– mówi </w:t>
      </w:r>
      <w:r w:rsidR="005031D0" w:rsidRPr="000E1B87">
        <w:rPr>
          <w:rFonts w:ascii="Arial" w:hAnsi="Arial" w:cs="Arial"/>
          <w:sz w:val="24"/>
          <w:szCs w:val="24"/>
        </w:rPr>
        <w:t xml:space="preserve">dr hab. </w:t>
      </w:r>
      <w:r w:rsidR="005031D0" w:rsidRPr="000E1B87">
        <w:rPr>
          <w:rFonts w:ascii="Arial" w:hAnsi="Arial" w:cs="Arial"/>
          <w:sz w:val="24"/>
          <w:szCs w:val="24"/>
        </w:rPr>
        <w:t>Joanna Stadnik, przewodnicząca Rady Programowej kierunku.</w:t>
      </w:r>
    </w:p>
    <w:p w:rsidR="00055A61" w:rsidRPr="000E1B87" w:rsidRDefault="005031D0" w:rsidP="00055A61">
      <w:pPr>
        <w:jc w:val="both"/>
        <w:rPr>
          <w:rFonts w:ascii="Arial" w:hAnsi="Arial" w:cs="Arial"/>
          <w:sz w:val="24"/>
          <w:szCs w:val="24"/>
        </w:rPr>
      </w:pPr>
      <w:r w:rsidRPr="000E1B87">
        <w:rPr>
          <w:rFonts w:ascii="Arial" w:hAnsi="Arial" w:cs="Arial"/>
          <w:sz w:val="24"/>
          <w:szCs w:val="24"/>
        </w:rPr>
        <w:t>Warto zauważyć, że „r</w:t>
      </w:r>
      <w:r w:rsidR="00055A61" w:rsidRPr="000E1B87">
        <w:rPr>
          <w:rFonts w:ascii="Arial" w:hAnsi="Arial" w:cs="Arial"/>
          <w:sz w:val="24"/>
          <w:szCs w:val="24"/>
        </w:rPr>
        <w:t>osnący rynek</w:t>
      </w:r>
      <w:r w:rsidR="00755919" w:rsidRPr="000E1B87">
        <w:rPr>
          <w:rFonts w:ascii="Arial" w:hAnsi="Arial" w:cs="Arial"/>
          <w:sz w:val="24"/>
          <w:szCs w:val="24"/>
        </w:rPr>
        <w:t xml:space="preserve"> relatywnie</w:t>
      </w:r>
      <w:r w:rsidR="00055A61" w:rsidRPr="000E1B87">
        <w:rPr>
          <w:rFonts w:ascii="Arial" w:hAnsi="Arial" w:cs="Arial"/>
          <w:sz w:val="24"/>
          <w:szCs w:val="24"/>
        </w:rPr>
        <w:t xml:space="preserve"> </w:t>
      </w:r>
      <w:r w:rsidR="00755919" w:rsidRPr="000E1B87">
        <w:rPr>
          <w:rFonts w:ascii="Arial" w:hAnsi="Arial" w:cs="Arial"/>
          <w:sz w:val="24"/>
          <w:szCs w:val="24"/>
        </w:rPr>
        <w:t xml:space="preserve">nowych </w:t>
      </w:r>
      <w:r w:rsidR="00055A61" w:rsidRPr="000E1B87">
        <w:rPr>
          <w:rFonts w:ascii="Arial" w:hAnsi="Arial" w:cs="Arial"/>
          <w:sz w:val="24"/>
          <w:szCs w:val="24"/>
        </w:rPr>
        <w:t>usług takich jak: sprzedaż gotowej żywności na wynos, dostawa do domu, obsługa imprez okolicznościowych, catering (w tym dietetyczny), świadczenie usług rozrywkowych, stwarza Absolwentom kierunku Gastronomia i Sztuka Kulinarna możliwości zakładania i rozwijania własnej działalności gospodarczej.</w:t>
      </w:r>
      <w:r w:rsidR="00055A61" w:rsidRPr="000E1B87">
        <w:rPr>
          <w:rFonts w:ascii="Arial" w:hAnsi="Arial" w:cs="Arial"/>
          <w:sz w:val="24"/>
          <w:szCs w:val="24"/>
        </w:rPr>
        <w:t xml:space="preserve">” – </w:t>
      </w:r>
      <w:r w:rsidRPr="000E1B87">
        <w:rPr>
          <w:rFonts w:ascii="Arial" w:hAnsi="Arial" w:cs="Arial"/>
          <w:sz w:val="24"/>
          <w:szCs w:val="24"/>
        </w:rPr>
        <w:t>dodaje</w:t>
      </w:r>
      <w:r w:rsidR="00055A61" w:rsidRPr="000E1B87">
        <w:rPr>
          <w:rFonts w:ascii="Arial" w:hAnsi="Arial" w:cs="Arial"/>
          <w:sz w:val="24"/>
          <w:szCs w:val="24"/>
        </w:rPr>
        <w:t xml:space="preserve"> </w:t>
      </w:r>
      <w:r w:rsidR="00055A61" w:rsidRPr="000E1B87">
        <w:rPr>
          <w:rFonts w:ascii="Arial" w:hAnsi="Arial" w:cs="Arial"/>
          <w:sz w:val="24"/>
          <w:szCs w:val="24"/>
        </w:rPr>
        <w:t>dr hab. Joanna Stadnik</w:t>
      </w:r>
      <w:r w:rsidRPr="000E1B87">
        <w:rPr>
          <w:rFonts w:ascii="Arial" w:hAnsi="Arial" w:cs="Arial"/>
          <w:sz w:val="24"/>
          <w:szCs w:val="24"/>
        </w:rPr>
        <w:t xml:space="preserve">. </w:t>
      </w:r>
    </w:p>
    <w:p w:rsidR="000E1B87" w:rsidRPr="000E1B87" w:rsidRDefault="000E1B87" w:rsidP="000E1B87">
      <w:pPr>
        <w:rPr>
          <w:rFonts w:ascii="Arial" w:hAnsi="Arial" w:cs="Arial"/>
        </w:rPr>
      </w:pPr>
    </w:p>
    <w:p w:rsidR="000E1B87" w:rsidRDefault="000E1B87" w:rsidP="000E1B87">
      <w:pPr>
        <w:spacing w:after="0"/>
        <w:rPr>
          <w:rFonts w:ascii="Arial" w:hAnsi="Arial" w:cs="Arial"/>
        </w:rPr>
      </w:pPr>
      <w:r w:rsidRPr="000E1B87">
        <w:rPr>
          <w:rFonts w:ascii="Arial" w:hAnsi="Arial" w:cs="Arial"/>
        </w:rPr>
        <w:t>Przedmioty brane pod uwag</w:t>
      </w:r>
      <w:r>
        <w:rPr>
          <w:rFonts w:ascii="Arial" w:hAnsi="Arial" w:cs="Arial"/>
        </w:rPr>
        <w:t xml:space="preserve">ę w postępowaniu rekrutacyjnym:  </w:t>
      </w:r>
    </w:p>
    <w:p w:rsidR="000E1B87" w:rsidRDefault="000E1B87" w:rsidP="000E1B87">
      <w:pPr>
        <w:spacing w:after="0"/>
        <w:rPr>
          <w:rFonts w:ascii="Arial" w:hAnsi="Arial" w:cs="Arial"/>
        </w:rPr>
      </w:pPr>
      <w:r w:rsidRPr="000E1B87">
        <w:rPr>
          <w:rFonts w:ascii="Arial" w:hAnsi="Arial" w:cs="Arial"/>
        </w:rPr>
        <w:t>język obcy nowożytny oraz jeden przedmiot do wyboru: biologia, matematyka, chemia, fizyka i astronomia, informatyka, geografia.</w:t>
      </w:r>
    </w:p>
    <w:p w:rsidR="000E1B87" w:rsidRPr="000E1B87" w:rsidRDefault="000E1B87" w:rsidP="000E1B87">
      <w:pPr>
        <w:spacing w:after="0"/>
        <w:rPr>
          <w:rFonts w:ascii="Arial" w:hAnsi="Arial" w:cs="Arial"/>
        </w:rPr>
      </w:pPr>
    </w:p>
    <w:p w:rsidR="000E1B87" w:rsidRDefault="000E1B87" w:rsidP="000E1B87">
      <w:pPr>
        <w:spacing w:after="0"/>
        <w:rPr>
          <w:rFonts w:ascii="Arial" w:hAnsi="Arial" w:cs="Arial"/>
        </w:rPr>
      </w:pPr>
      <w:r w:rsidRPr="000E1B87">
        <w:rPr>
          <w:rFonts w:ascii="Arial" w:hAnsi="Arial" w:cs="Arial"/>
        </w:rPr>
        <w:t xml:space="preserve">Kierunek prowadzi: </w:t>
      </w:r>
    </w:p>
    <w:p w:rsidR="00E00793" w:rsidRPr="000E1B87" w:rsidRDefault="000E1B87" w:rsidP="000E1B87">
      <w:pPr>
        <w:spacing w:after="0"/>
        <w:rPr>
          <w:rFonts w:ascii="Arial" w:hAnsi="Arial" w:cs="Arial"/>
        </w:rPr>
      </w:pPr>
      <w:r w:rsidRPr="000E1B87">
        <w:rPr>
          <w:rFonts w:ascii="Arial" w:hAnsi="Arial" w:cs="Arial"/>
        </w:rPr>
        <w:t xml:space="preserve">Wydział </w:t>
      </w:r>
      <w:r w:rsidRPr="000E1B87">
        <w:rPr>
          <w:rFonts w:ascii="Arial" w:hAnsi="Arial" w:cs="Arial"/>
        </w:rPr>
        <w:t xml:space="preserve">Nauk o Żywności i Biotechnologii </w:t>
      </w:r>
    </w:p>
    <w:sectPr w:rsidR="00E00793" w:rsidRPr="000E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7"/>
    <w:rsid w:val="000549B0"/>
    <w:rsid w:val="00055A61"/>
    <w:rsid w:val="000E1B87"/>
    <w:rsid w:val="0043633E"/>
    <w:rsid w:val="004779C7"/>
    <w:rsid w:val="00500C0F"/>
    <w:rsid w:val="005031D0"/>
    <w:rsid w:val="00525EF7"/>
    <w:rsid w:val="007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5715-DE25-4DF3-A550-D48DB15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7F6E-F85F-4A61-8381-60A7208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dc:description/>
  <cp:lastModifiedBy>Agnieszka Wasilak</cp:lastModifiedBy>
  <cp:revision>6</cp:revision>
  <dcterms:created xsi:type="dcterms:W3CDTF">2015-02-26T08:29:00Z</dcterms:created>
  <dcterms:modified xsi:type="dcterms:W3CDTF">2015-02-26T09:30:00Z</dcterms:modified>
</cp:coreProperties>
</file>